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139" w:rsidRDefault="00D07139" w:rsidP="00D0713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.../.... (...) önkormányzati rendelete</w:t>
      </w:r>
    </w:p>
    <w:p w:rsidR="00D07139" w:rsidRDefault="00D07139" w:rsidP="00D0713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Helyi Építési Szabályzatáról szóló 6/2018. (V.31.) sz. önkormányzati rendelet módosításáról</w:t>
      </w:r>
    </w:p>
    <w:p w:rsidR="00D07139" w:rsidRDefault="00D07139" w:rsidP="00D07139">
      <w:pPr>
        <w:pStyle w:val="Szvegtrzs"/>
        <w:spacing w:before="220" w:after="0" w:line="240" w:lineRule="auto"/>
        <w:jc w:val="both"/>
      </w:pPr>
      <w:r>
        <w:t>Dunakeszi Város Önkormányzat Képviselő-testülete Magyarország Alaptörvényének 32. cikk (1) bekezdés a) pontjában meghatározott jogalkotói hatáskörében, Magyarország helyi önkormányzatairól szóló 2011. évi CLXXXIX. törvény 13. § (1) bekezdésében, valamint az épített környezet alakításáról és védelméről szóló 1997. évi LXXVIII. törvény 6. § (1) bekezdésében foglalt feladatkörében eljárva, a 62. § (6) bekezdés 6. pontjában kapott felhatalmazás alapján, a 13. § (1) bekezdésében, valamint a településtervek tartalmáról, elkészítésének és elfogadásának rendjéről, valamint egyes településrendezési sajátos jogintézményekről szóló 419/2021. (VII. 5.) Korm. rendelet 68. §-ban foglaltakra figyelemmel, és ugyanezen jogszabályhely 11. számú mellékletében megjelölt véleményezési jogkörben eljáró szervek, önkormányzatok - valamint Dunakeszi Város Önkormányzata Képviselő-testületének a Partnerségi egyeztetés szabályairól szóló 5/2017.(IV.07.) önkormányzati rendeletében foglalt véleményének kikérésével - Dunakeszi Város Helyi Építési Szabályzatáról szóló 6/2018.(V.31.) sz. önkormányzati rendelet módosításáról a következőket rendeli el.</w:t>
      </w:r>
    </w:p>
    <w:p w:rsidR="00D07139" w:rsidRDefault="00D07139" w:rsidP="00D071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D07139" w:rsidRDefault="00D07139" w:rsidP="00D07139">
      <w:pPr>
        <w:pStyle w:val="Szvegtrzs"/>
        <w:spacing w:after="0" w:line="240" w:lineRule="auto"/>
        <w:jc w:val="both"/>
      </w:pPr>
      <w:r>
        <w:t>A Dunakeszi Város Helyi Építési Szabályzatáról szóló 6/2018 (V.31.) önkormányzati rendelet bevezető része helyébe a következő rendelkezés lép:</w:t>
      </w:r>
    </w:p>
    <w:p w:rsidR="00D07139" w:rsidRDefault="00D07139" w:rsidP="00D07139">
      <w:pPr>
        <w:pStyle w:val="Szvegtrzs"/>
        <w:spacing w:before="240" w:after="240" w:line="240" w:lineRule="auto"/>
        <w:jc w:val="both"/>
      </w:pPr>
      <w:r>
        <w:t>„Dunakeszi Város Önkormányzatának Képviselő-testülete az Alaptörvény 32. cikk (1) bekezdés a) pontjában meghatározott hatáskörében, a Magyarország helyi önkormányzatairól szóló 2011. évi CLXXXIX. törvény 13. § (1) bekezdésében, valamint az épített környezet alakításáról és védelméről szóló 1997. évi LXXVIII. törvény 6. § (1) bekezdésében foglalt feladatkörében eljárva, a 62. § (6) bekezdés 6. pontjában kapott felhatalmazás alapján, a 13. § (1) bekezdésében, valamint a településfejlesztési koncepcióról, az integrált településfejlesztési stratégiáról és a településfejlesztési eszközökről, valamint az egyes sajátos jogintézményekről szóló 419/2021. (VII. 15.) Korm. rendelet 68. §-ában foglaltakra figyelemmel, és a 11. számú mellékletben megjelölt véleményezési jogkörben eljáró szervek, önkormányzatok, valamint Dunakeszi Város Önkormányzat Képviselő-testületének a Partnerségi egyeztetés szabályairól szóló 4/2017.(III.20.) önkormányzati rendeletében foglaltak véleményének kikérésével Dunakeszi Város Helyi Építési Szabályzatáról szóló 6/2018.(V.31.) sz. önkormányzati rendelet módosításáról a következőket rendeli el:”</w:t>
      </w:r>
    </w:p>
    <w:p w:rsidR="00D07139" w:rsidRDefault="00D07139" w:rsidP="00D071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D07139" w:rsidRDefault="00D07139" w:rsidP="00D07139">
      <w:pPr>
        <w:pStyle w:val="Szvegtrzs"/>
        <w:spacing w:after="0" w:line="240" w:lineRule="auto"/>
        <w:jc w:val="both"/>
      </w:pPr>
      <w:r>
        <w:t>A Dunakeszi Város Helyi Építési Szabályzatáról szóló 6/2018 (V.31.) önkormányzati rendelet 20. § (15) bekezdése helyébe a következő rendelkezés lép:</w:t>
      </w:r>
    </w:p>
    <w:p w:rsidR="00D07139" w:rsidRDefault="00D07139" w:rsidP="00D07139">
      <w:pPr>
        <w:pStyle w:val="Szvegtrzs"/>
        <w:spacing w:before="240" w:after="0" w:line="240" w:lineRule="auto"/>
        <w:jc w:val="both"/>
      </w:pPr>
      <w:r>
        <w:t xml:space="preserve">„(15) Az Lk-A/7 jelű építési övezetbe sorolt azon ingatlanokon, melyek a </w:t>
      </w:r>
      <w:r>
        <w:rPr>
          <w:b/>
          <w:bCs/>
        </w:rPr>
        <w:t>Bazsanth Vince</w:t>
      </w:r>
      <w:r>
        <w:t xml:space="preserve"> utcától északra a Fő utcával határosan-, és az Árpád utcától délre a Fő utcával határosan fekszenek (a Fő út mindkét oldalán):</w:t>
      </w:r>
    </w:p>
    <w:p w:rsidR="00D07139" w:rsidRDefault="00D07139" w:rsidP="00D0713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zártsorú beépítési mód engedélyezhető.</w:t>
      </w:r>
    </w:p>
    <w:p w:rsidR="00D07139" w:rsidRDefault="00D07139" w:rsidP="00D0713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elhelyezhető rendeltetési egységek száma tisztán lakó rendeltetések esetén a jelen rendelet 19. §(2) bekezdésében meghatározottak szerint.</w:t>
      </w:r>
    </w:p>
    <w:p w:rsidR="00D07139" w:rsidRDefault="00D07139" w:rsidP="00D0713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b) pontban meghatározottaktól eltérő esetekben:</w:t>
      </w:r>
    </w:p>
    <w:p w:rsidR="00D07139" w:rsidRDefault="00D07139" w:rsidP="00D07139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lastRenderedPageBreak/>
        <w:t>ca)</w:t>
      </w:r>
      <w:r>
        <w:tab/>
        <w:t>emeleti szinteken a jelen rendelet 19. § (2) bekezdésében leírtak szerinti összes rendeltetési egység szám alakítható ki,</w:t>
      </w:r>
    </w:p>
    <w:p w:rsidR="00D07139" w:rsidRDefault="00D07139" w:rsidP="00D07139">
      <w:pPr>
        <w:pStyle w:val="Szvegtrzs"/>
        <w:spacing w:after="240" w:line="240" w:lineRule="auto"/>
        <w:ind w:left="980" w:hanging="400"/>
        <w:jc w:val="both"/>
      </w:pPr>
      <w:r>
        <w:rPr>
          <w:i/>
          <w:iCs/>
        </w:rPr>
        <w:t>cb)</w:t>
      </w:r>
      <w:r>
        <w:tab/>
      </w:r>
      <w:r>
        <w:rPr>
          <w:i/>
          <w:iCs/>
        </w:rPr>
        <w:t xml:space="preserve">földszinti, Fő út felőli utcafronti helyiségben a ca) pontban leírtakon felül kizárólag a jelen rendelet </w:t>
      </w:r>
      <w:r>
        <w:t xml:space="preserve">16. § </w:t>
      </w:r>
      <w:r>
        <w:rPr>
          <w:i/>
          <w:iCs/>
        </w:rPr>
        <w:t xml:space="preserve">(3) </w:t>
      </w:r>
      <w:r>
        <w:t>b)</w:t>
      </w:r>
      <w:r>
        <w:rPr>
          <w:i/>
          <w:iCs/>
        </w:rPr>
        <w:t xml:space="preserve">, </w:t>
      </w:r>
      <w:r>
        <w:t>c) pont</w:t>
      </w:r>
      <w:r>
        <w:rPr>
          <w:i/>
          <w:iCs/>
        </w:rPr>
        <w:t xml:space="preserve"> szerinti rendeltetési egységek helyezhetők el, a földszint többi részén kizárólag járműtároló, kazánház, egyéb tároló helyiségek helyezhetők el.</w:t>
      </w:r>
      <w:r>
        <w:t>”</w:t>
      </w:r>
    </w:p>
    <w:p w:rsidR="00D07139" w:rsidRDefault="00D07139" w:rsidP="00D071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D07139" w:rsidRDefault="00D07139" w:rsidP="00D07139">
      <w:pPr>
        <w:pStyle w:val="Szvegtrzs"/>
        <w:spacing w:after="0" w:line="240" w:lineRule="auto"/>
        <w:jc w:val="both"/>
      </w:pPr>
      <w:r>
        <w:t>A Dunakeszi Város Helyi Építési Szabályzatáról szóló 6/2018 (V.31.) önkormányzati rendelet 24. § (1) bekezdés a) pont al) alpontja helyébe a következő rendelkezés lép:</w:t>
      </w:r>
    </w:p>
    <w:p w:rsidR="00D07139" w:rsidRDefault="00D07139" w:rsidP="00D07139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(Eltérő építési övezeti előírás hiányában önállóan-, vagy vegyesen</w:t>
      </w:r>
      <w:r>
        <w:rPr>
          <w:i/>
          <w:iCs/>
        </w:rPr>
        <w:tab/>
        <w:t xml:space="preserve"> </w:t>
      </w:r>
      <w:r>
        <w:rPr>
          <w:i/>
          <w:iCs/>
        </w:rPr>
        <w:br/>
        <w:t>elhelyezhető rendeltetés:)</w:t>
      </w:r>
    </w:p>
    <w:p w:rsidR="00D07139" w:rsidRDefault="00D07139" w:rsidP="00D07139">
      <w:pPr>
        <w:pStyle w:val="Szvegtrzs"/>
        <w:spacing w:after="240" w:line="240" w:lineRule="auto"/>
        <w:ind w:left="980" w:hanging="400"/>
        <w:jc w:val="both"/>
      </w:pPr>
      <w:r>
        <w:t>„</w:t>
      </w:r>
      <w:r>
        <w:rPr>
          <w:i/>
          <w:iCs/>
        </w:rPr>
        <w:t>al)</w:t>
      </w:r>
      <w:r>
        <w:tab/>
        <w:t>Vt-Ai/16 jelű építési övezetben a meghatározott paraméterek alapján számított bruttó szintterület teljes mértékéig legfeljebb 35 lakó rendeltetést magába foglaló lakóépület kialakítása megengedett.”</w:t>
      </w:r>
    </w:p>
    <w:p w:rsidR="00D07139" w:rsidRDefault="00D07139" w:rsidP="00D071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D07139" w:rsidRDefault="00D07139" w:rsidP="00D07139">
      <w:pPr>
        <w:pStyle w:val="Szvegtrzs"/>
        <w:spacing w:after="0" w:line="240" w:lineRule="auto"/>
        <w:jc w:val="both"/>
      </w:pPr>
      <w:r>
        <w:t>(1) A Dunakeszi Város Helyi Építési Szabályzatáról szóló 6/2018 (V.31.) önkormányzati rendelet 25. § (10) bekezdése helyébe a következő rendelkezés lép:</w:t>
      </w:r>
    </w:p>
    <w:p w:rsidR="00D07139" w:rsidRDefault="00D07139" w:rsidP="00D07139">
      <w:pPr>
        <w:pStyle w:val="Szvegtrzs"/>
        <w:spacing w:before="240" w:after="240" w:line="240" w:lineRule="auto"/>
        <w:jc w:val="both"/>
      </w:pPr>
      <w:r>
        <w:t>„(10) A Repülőtéri út, Fóti út, közigazgatási határ, 056/10 hrsz-ú út által határolt tömbben a Vt-Ai/3, Vt/14 jelű építési övezetben lakó és az intézményi funkcióhoz kapcsolódó szolgálati lakó rendeltetés nem helyezhető el. A Vt/14 jelű építési övezet hátsókerti mérete 6,0 méter.”</w:t>
      </w:r>
    </w:p>
    <w:p w:rsidR="00D07139" w:rsidRDefault="00D07139" w:rsidP="00D07139">
      <w:pPr>
        <w:pStyle w:val="Szvegtrzs"/>
        <w:spacing w:before="240" w:after="0" w:line="240" w:lineRule="auto"/>
        <w:jc w:val="both"/>
      </w:pPr>
      <w:r>
        <w:t>(2) A Dunakeszi Város Helyi Építési Szabályzatáról szóló 6/2018 (V.31.) önkormányzati rendelet 25. § (16) bekezdése helyébe a következő rendelkezés lép:</w:t>
      </w:r>
    </w:p>
    <w:p w:rsidR="00D07139" w:rsidRDefault="00D07139" w:rsidP="00D07139">
      <w:pPr>
        <w:pStyle w:val="Szvegtrzs"/>
        <w:spacing w:before="240" w:after="240" w:line="240" w:lineRule="auto"/>
        <w:jc w:val="both"/>
      </w:pPr>
      <w:r>
        <w:t>„(16) A Vt/20 jelű építési övezet a városi piac területe. Az építési övezetben piac típusú kereskedelmi-szolgáltató rendeltetés és az annak működtetéséhez szükséges építmények, műszaki berendezések, utcabútorok, továbbá közösségi rekreációs rendeltetésű építmények elhelyezése megengedett.”</w:t>
      </w:r>
    </w:p>
    <w:p w:rsidR="00D07139" w:rsidRDefault="00D07139" w:rsidP="00D07139">
      <w:pPr>
        <w:pStyle w:val="Szvegtrzs"/>
        <w:spacing w:before="240" w:after="0" w:line="240" w:lineRule="auto"/>
        <w:jc w:val="both"/>
      </w:pPr>
      <w:r>
        <w:t>(3) A Dunakeszi Város Helyi Építési Szabályzatáról szóló 6/2018 (V.31.) önkormányzati rendelet 25. §-a a következő (17) bekezdéssel egészül ki:</w:t>
      </w:r>
    </w:p>
    <w:p w:rsidR="00D07139" w:rsidRDefault="00D07139" w:rsidP="00D07139">
      <w:pPr>
        <w:pStyle w:val="Szvegtrzs"/>
        <w:spacing w:before="240" w:after="240" w:line="240" w:lineRule="auto"/>
        <w:jc w:val="both"/>
      </w:pPr>
      <w:r>
        <w:t>„(17) A Fő út mellett fekvő, Vt-Ai/2 építési övezetbe sorolt ingatlanon a 25. §(5) a) pont előírásait nem kell alkalmazni.”</w:t>
      </w:r>
    </w:p>
    <w:p w:rsidR="00D07139" w:rsidRDefault="00D07139" w:rsidP="00D071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D07139" w:rsidRDefault="00D07139" w:rsidP="00D07139">
      <w:pPr>
        <w:pStyle w:val="Szvegtrzs"/>
        <w:spacing w:after="0" w:line="240" w:lineRule="auto"/>
        <w:jc w:val="both"/>
      </w:pPr>
      <w:r>
        <w:t>A Dunakeszi Város Helyi Építési Szabályzatáról szóló 6/2018 (V.31.) önkormányzati rendelet 28. §-a a következő (9) bekezdéssel egészül ki:</w:t>
      </w:r>
    </w:p>
    <w:p w:rsidR="00D07139" w:rsidRDefault="00D07139" w:rsidP="00D07139">
      <w:pPr>
        <w:pStyle w:val="Szvegtrzs"/>
        <w:spacing w:before="240" w:after="0" w:line="240" w:lineRule="auto"/>
        <w:jc w:val="both"/>
      </w:pPr>
      <w:r>
        <w:t>„(9) A Rév utca mentén fekvő Gksz/17 jelű építési övezetben:</w:t>
      </w:r>
    </w:p>
    <w:p w:rsidR="00D07139" w:rsidRDefault="00D07139" w:rsidP="00D0713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előkert mérete: 0,0 méter,</w:t>
      </w:r>
    </w:p>
    <w:p w:rsidR="00D07139" w:rsidRDefault="00D07139" w:rsidP="00D0713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hátsókert mérete: 6,0 méter,</w:t>
      </w:r>
    </w:p>
    <w:p w:rsidR="00D07139" w:rsidRDefault="00D07139" w:rsidP="00D0713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nem elhelyezhető rendeltetések: szállás jellegű, munkásszálló</w:t>
      </w:r>
    </w:p>
    <w:p w:rsidR="00D07139" w:rsidRDefault="00D07139" w:rsidP="00D07139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legnagyobb párkánymagasság: 9,0 méter.”</w:t>
      </w:r>
    </w:p>
    <w:p w:rsidR="00D07139" w:rsidRDefault="00D07139" w:rsidP="00D071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D07139" w:rsidRDefault="00D07139" w:rsidP="00D07139">
      <w:pPr>
        <w:pStyle w:val="Szvegtrzs"/>
        <w:spacing w:after="0" w:line="240" w:lineRule="auto"/>
        <w:jc w:val="both"/>
      </w:pPr>
      <w:r>
        <w:lastRenderedPageBreak/>
        <w:t>A Dunakeszi Város Helyi Építési Szabályzatáról szóló 6/2018 (V.31.) önkormányzati rendelet 54. §-a a következő (3a) bekezdéssel egészül ki:</w:t>
      </w:r>
    </w:p>
    <w:p w:rsidR="00D07139" w:rsidRDefault="00D07139" w:rsidP="00D07139">
      <w:pPr>
        <w:pStyle w:val="Szvegtrzs"/>
        <w:spacing w:before="240" w:after="240" w:line="240" w:lineRule="auto"/>
        <w:jc w:val="both"/>
      </w:pPr>
      <w:r>
        <w:t>„(3a) Kilátó építése esetén az övezetben megengedett épületmagasság értékét nem kell figyelembe venni.”</w:t>
      </w:r>
    </w:p>
    <w:p w:rsidR="00D07139" w:rsidRDefault="00D07139" w:rsidP="00D071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D07139" w:rsidRDefault="00D07139" w:rsidP="00D07139">
      <w:pPr>
        <w:pStyle w:val="Szvegtrzs"/>
        <w:spacing w:after="0" w:line="240" w:lineRule="auto"/>
        <w:jc w:val="both"/>
      </w:pPr>
      <w:r>
        <w:t>A Dunakeszi Város Helyi Építési Szabályzatáról szóló 6/2018 (V.31.) önkormányzati rendelet 93. § (2b) bekezdése helyébe a következő rendelkezés lép:</w:t>
      </w:r>
    </w:p>
    <w:p w:rsidR="00D07139" w:rsidRDefault="00D07139" w:rsidP="00D07139">
      <w:pPr>
        <w:pStyle w:val="Szvegtrzs"/>
        <w:spacing w:before="240" w:after="0" w:line="240" w:lineRule="auto"/>
        <w:jc w:val="both"/>
      </w:pPr>
      <w:r>
        <w:t>„(2b) Az Lk, Lke és Vt építési övezetekben:</w:t>
      </w:r>
    </w:p>
    <w:p w:rsidR="00D07139" w:rsidRDefault="00D07139" w:rsidP="00D0713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meglévő lakó rendeltetési egység 20 m</w:t>
      </w:r>
      <w:r>
        <w:rPr>
          <w:vertAlign w:val="superscript"/>
        </w:rPr>
        <w:t>2</w:t>
      </w:r>
      <w:r>
        <w:t xml:space="preserve"> nettó szintterületet meg nem haladó bővítése, vagy 80 m</w:t>
      </w:r>
      <w:r>
        <w:rPr>
          <w:vertAlign w:val="superscript"/>
        </w:rPr>
        <w:t>2</w:t>
      </w:r>
      <w:r>
        <w:t xml:space="preserve"> nettó szintterületet meg nem haladó új lakó rendeltetési egység építése/kialakítása esetén, amennyiben a hozzá tartozó gépkocsi elhelyezés önálló épületben-, vagy a főépítmény kubatúráján belül kialakított zárt járműtárolóban nem megoldott, 20 m</w:t>
      </w:r>
      <w:r>
        <w:rPr>
          <w:vertAlign w:val="superscript"/>
        </w:rPr>
        <w:t>2</w:t>
      </w:r>
      <w:r>
        <w:t>-nyi telekrészt beépítetlenül kell hagyni gépjármű tároló későbbi építése érdekében (főépítmény és egyéb kiegészítő rendeltetés részére ennyivel kevesebb beépítés valósítható meg),</w:t>
      </w:r>
    </w:p>
    <w:p w:rsidR="00D07139" w:rsidRDefault="00D07139" w:rsidP="00D07139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80 m2 nettó szintterületet meghaladó új lakó rendeltetési egység építése/kialakítása vagy meglévő lakó rendeltetési egység 20 m</w:t>
      </w:r>
      <w:r>
        <w:rPr>
          <w:vertAlign w:val="superscript"/>
        </w:rPr>
        <w:t>2</w:t>
      </w:r>
      <w:r>
        <w:t xml:space="preserve"> nettó szintterületet meghaladó bővítése esetén felszíni parkoló csak a gépjármű elhelyezési kötelezettség mértékén túli járművek számára létesíthető.”</w:t>
      </w:r>
    </w:p>
    <w:p w:rsidR="00D07139" w:rsidRDefault="00D07139" w:rsidP="00D071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D07139" w:rsidRDefault="00D07139" w:rsidP="00D07139">
      <w:pPr>
        <w:pStyle w:val="Szvegtrzs"/>
        <w:spacing w:after="0" w:line="240" w:lineRule="auto"/>
        <w:jc w:val="both"/>
      </w:pPr>
      <w:r>
        <w:t>(1) A Dunakeszi Város Helyi Építési Szabályzatáról szóló 6/2018 (V.31.) önkormányzati rendelet 1. melléklete helyébe a 2. melléklet lép.</w:t>
      </w:r>
    </w:p>
    <w:p w:rsidR="00D07139" w:rsidRDefault="00D07139" w:rsidP="00D07139">
      <w:pPr>
        <w:pStyle w:val="Szvegtrzs"/>
        <w:spacing w:before="240" w:after="0" w:line="240" w:lineRule="auto"/>
        <w:jc w:val="both"/>
      </w:pPr>
      <w:r>
        <w:t>(2) A Dunakeszi Város Helyi Építési Szabályzatáról szóló 6/2018 (V.31.) önkormányzati rendelet 2. melléklete helyébe az 1. melléklet lép.</w:t>
      </w:r>
    </w:p>
    <w:p w:rsidR="00D07139" w:rsidRDefault="00D07139" w:rsidP="00D071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D07139" w:rsidRDefault="00D07139" w:rsidP="00D07139">
      <w:pPr>
        <w:pStyle w:val="Szvegtrzs"/>
        <w:spacing w:after="0" w:line="240" w:lineRule="auto"/>
        <w:jc w:val="both"/>
      </w:pPr>
      <w:r>
        <w:t>Hatályát veszti a Dunakeszi Város Helyi Építési Szabályzatáról szóló 6/2018 (V.31.) önkormányzati rendelet 51. § (3) bekezdése.</w:t>
      </w:r>
    </w:p>
    <w:p w:rsidR="00D07139" w:rsidRDefault="00D07139" w:rsidP="00D0713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:rsidR="00D07139" w:rsidRDefault="00D07139" w:rsidP="00D07139">
      <w:pPr>
        <w:pStyle w:val="Szvegtrzs"/>
        <w:spacing w:after="0" w:line="240" w:lineRule="auto"/>
        <w:jc w:val="both"/>
      </w:pPr>
      <w:r>
        <w:t>Ez a rendelet 2024. április 12-én lép hatályba, és 2024. április 14-én hatályát veszti.</w:t>
      </w:r>
      <w:r>
        <w:br w:type="page"/>
      </w:r>
    </w:p>
    <w:p w:rsidR="00D07139" w:rsidRDefault="00D07139" w:rsidP="00D07139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D07139" w:rsidRDefault="00D07139" w:rsidP="00D07139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2. melléklet a 6/2018. (V. 31.) önkormányzati rendelethez</w:t>
      </w:r>
    </w:p>
    <w:p w:rsidR="00D07139" w:rsidRDefault="00D07139" w:rsidP="00D0713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Építési övezetek, övezetek beépítési paramétereinek táblázatai</w:t>
      </w:r>
    </w:p>
    <w:p w:rsidR="00D07139" w:rsidRDefault="00D07139" w:rsidP="00D07139">
      <w:pPr>
        <w:pStyle w:val="Szvegtrzs"/>
        <w:spacing w:before="220" w:after="0" w:line="240" w:lineRule="auto"/>
        <w:jc w:val="both"/>
      </w:pPr>
      <w:r>
        <w:t xml:space="preserve">1. </w:t>
      </w:r>
      <w:r>
        <w:rPr>
          <w:b/>
          <w:bCs/>
        </w:rPr>
        <w:t>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8"/>
        <w:gridCol w:w="577"/>
        <w:gridCol w:w="1539"/>
        <w:gridCol w:w="1539"/>
        <w:gridCol w:w="1635"/>
        <w:gridCol w:w="96"/>
        <w:gridCol w:w="1444"/>
        <w:gridCol w:w="1540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Ln/1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100**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15,0*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0**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Ln/2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100**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33,0*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0**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2,3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Ln/3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</w:pPr>
      <w:r>
        <w:rPr>
          <w:b/>
          <w:bCs/>
        </w:rPr>
        <w:t xml:space="preserve">* </w:t>
      </w:r>
      <w:r>
        <w:t>jelen rendelet 18. §–ban adott eltérésekkel</w:t>
      </w:r>
    </w:p>
    <w:p w:rsidR="00D07139" w:rsidRDefault="00D07139" w:rsidP="00D07139">
      <w:pPr>
        <w:pStyle w:val="Szvegtrzs"/>
        <w:spacing w:before="220" w:after="0" w:line="240" w:lineRule="auto"/>
      </w:pPr>
      <w:r>
        <w:t>** PE/AF/00178-4/2018. ügyiratszámú OTÉK engedmény alapján</w:t>
      </w:r>
    </w:p>
    <w:p w:rsidR="00D07139" w:rsidRDefault="00D07139" w:rsidP="00D07139">
      <w:pPr>
        <w:pStyle w:val="Szvegtrzs"/>
        <w:spacing w:before="220" w:after="0" w:line="240" w:lineRule="auto"/>
        <w:jc w:val="both"/>
      </w:pPr>
      <w:r>
        <w:t xml:space="preserve">2. </w:t>
      </w:r>
      <w:r>
        <w:rPr>
          <w:b/>
          <w:bCs/>
        </w:rPr>
        <w:t>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3"/>
        <w:gridCol w:w="1058"/>
        <w:gridCol w:w="577"/>
        <w:gridCol w:w="1444"/>
        <w:gridCol w:w="1443"/>
        <w:gridCol w:w="1444"/>
        <w:gridCol w:w="385"/>
        <w:gridCol w:w="1444"/>
        <w:gridCol w:w="1444"/>
      </w:tblGrid>
      <w:tr w:rsidR="00D07139" w:rsidTr="00F739DE">
        <w:trPr>
          <w:tblHeader/>
        </w:trPr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 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 *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2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APRÓTELKES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Lk-A/1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Lk-A/2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540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 (5,5)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0,7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Lk-A/3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 (7,0)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Lk-A/4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 (5,5)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0,75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Lk-A/5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 (4,5)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Lk-A/6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 (4,0)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Lk-A/7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2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NORMÁLTELKES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0,75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Lk/8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IKR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650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Lk/9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92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NAGYTELKES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1300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0,9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2400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Lk-N/12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1300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1300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Lk-N/14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Lk-N/15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0,7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92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ALAPINTÉZMÉNYI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Lk-Ai/1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Lk-Ai/2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0,75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Lk-Ai/3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Lk-Ai/4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Lk-Ai/5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10000</w:t>
            </w:r>
          </w:p>
        </w:tc>
        <w:tc>
          <w:tcPr>
            <w:tcW w:w="1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</w:pPr>
      <w:r>
        <w:t>*a (zárójeles) érték az utcafront felöli homlokzaton kialakítható legnagyobb homlokzatmagasság értékét mutatja</w:t>
      </w:r>
    </w:p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3.számú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"/>
        <w:gridCol w:w="383"/>
        <w:gridCol w:w="573"/>
        <w:gridCol w:w="572"/>
        <w:gridCol w:w="382"/>
        <w:gridCol w:w="382"/>
        <w:gridCol w:w="668"/>
        <w:gridCol w:w="668"/>
        <w:gridCol w:w="668"/>
        <w:gridCol w:w="668"/>
        <w:gridCol w:w="382"/>
        <w:gridCol w:w="382"/>
        <w:gridCol w:w="382"/>
        <w:gridCol w:w="382"/>
        <w:gridCol w:w="668"/>
        <w:gridCol w:w="668"/>
        <w:gridCol w:w="1622"/>
        <w:gridCol w:w="76"/>
      </w:tblGrid>
      <w:tr w:rsidR="00D07139" w:rsidTr="00F739DE">
        <w:trPr>
          <w:tblHeader/>
        </w:trPr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  <w:r>
              <w:br/>
            </w: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77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21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15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APRÓTELKES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Lke-A/1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Lke-A/2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I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550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Lke-A/3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Lke-A/4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550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Lke-A/5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550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15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NORMÁLTELKES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lastRenderedPageBreak/>
              <w:t>10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Lke/1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0,4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Lke/2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Lke/3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Lke/4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Lke/5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Lke/6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Lke/7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Lke/8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Lke/9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1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Lke/10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600</w:t>
            </w:r>
          </w:p>
        </w:tc>
        <w:tc>
          <w:tcPr>
            <w:tcW w:w="1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55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NAGYTELKES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</w:tr>
      <w:tr w:rsidR="00D07139" w:rsidTr="00F739DE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Lke-N/1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</w:tr>
      <w:tr w:rsidR="00D07139" w:rsidTr="00F739DE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Lke-N/2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</w:tr>
      <w:tr w:rsidR="00D07139" w:rsidTr="00F739DE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Lke-N/3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</w:tr>
      <w:tr w:rsidR="00D07139" w:rsidTr="00F739DE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Lke-N/4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</w:tr>
      <w:tr w:rsidR="00D07139" w:rsidTr="00F739DE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Lke-N/5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</w:tr>
      <w:tr w:rsidR="00D07139" w:rsidTr="00F739DE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855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ALAPINTÉZMÉNYI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</w:tr>
      <w:tr w:rsidR="00D07139" w:rsidTr="00F739DE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Lke-Ai/1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1400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</w:tr>
      <w:tr w:rsidR="00D07139" w:rsidTr="00F739DE">
        <w:tc>
          <w:tcPr>
            <w:tcW w:w="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  <w:tc>
          <w:tcPr>
            <w:tcW w:w="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Lke-Ai/2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800</w:t>
            </w: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23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  <w:tc>
          <w:tcPr>
            <w:tcW w:w="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</w:pPr>
          </w:p>
        </w:tc>
      </w:tr>
    </w:tbl>
    <w:p w:rsidR="00D07139" w:rsidRDefault="00D07139" w:rsidP="00D07139">
      <w:pPr>
        <w:pStyle w:val="Szvegtrzs"/>
        <w:spacing w:line="240" w:lineRule="auto"/>
        <w:jc w:val="center"/>
      </w:pPr>
      <w:r>
        <w:rPr>
          <w:b/>
          <w:bCs/>
        </w:rPr>
        <w:t>4.számú táblázat</w:t>
      </w:r>
      <w:r>
        <w:rPr>
          <w:b/>
          <w:bCs/>
          <w:vertAlign w:val="superscript"/>
        </w:rPr>
        <w:t>2,4;8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4"/>
        <w:gridCol w:w="385"/>
        <w:gridCol w:w="962"/>
        <w:gridCol w:w="577"/>
        <w:gridCol w:w="1444"/>
        <w:gridCol w:w="1444"/>
        <w:gridCol w:w="1539"/>
        <w:gridCol w:w="96"/>
        <w:gridCol w:w="1347"/>
        <w:gridCol w:w="1444"/>
      </w:tblGrid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E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F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(legkisebb) -</w:t>
            </w:r>
            <w:r>
              <w:br/>
              <w:t>legnagyobb épületmagasság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3</w:t>
            </w:r>
            <w:r>
              <w:rPr>
                <w:b/>
                <w:bCs/>
                <w:vertAlign w:val="superscript"/>
              </w:rPr>
              <w:t>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Vt/T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10,0**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5</w:t>
            </w:r>
            <w:r>
              <w:rPr>
                <w:b/>
                <w:bCs/>
                <w:vertAlign w:val="superscript"/>
              </w:rPr>
              <w:t>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0,8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(6,0)-14,5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1,8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0,75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lastRenderedPageBreak/>
              <w:t>15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Vt/12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100*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0*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2,2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Vt/14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Vt/15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Vt/16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Vt/17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2,0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Vt/18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Vt/19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22/A</w:t>
            </w:r>
            <w:r>
              <w:rPr>
                <w:b/>
                <w:bCs/>
                <w:vertAlign w:val="superscript"/>
              </w:rPr>
              <w:t>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Vt/20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86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ALAPINTÉZMÉNYI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Vt-Ai/1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24</w:t>
            </w:r>
            <w:r>
              <w:rPr>
                <w:b/>
                <w:bCs/>
                <w:vertAlign w:val="superscript"/>
              </w:rPr>
              <w:t>4;5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Vt-Ai/2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Vt-Ai/3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Vt-Ai/4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Vt-Ai/5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Vt-Ai/6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1,2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Vt-Ai/7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0,75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Vt-Ai/8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Vt-Ai/9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Vt-Ai/10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2,5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Vt-Ai/11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13,0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2,5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Vt-Ai/12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1,25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35</w:t>
            </w:r>
            <w:r>
              <w:rPr>
                <w:b/>
                <w:bCs/>
                <w:vertAlign w:val="superscript"/>
              </w:rPr>
              <w:t>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Vt-Ai/13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Vt-Ai/14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37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Vt-Ai/15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</w:tr>
      <w:tr w:rsidR="00D07139" w:rsidTr="00F739DE">
        <w:tc>
          <w:tcPr>
            <w:tcW w:w="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38</w:t>
            </w:r>
            <w:r>
              <w:rPr>
                <w:b/>
                <w:bCs/>
                <w:vertAlign w:val="superscript"/>
              </w:rPr>
              <w:t>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Vt-Ai/16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7,5</w:t>
            </w:r>
          </w:p>
        </w:tc>
        <w:tc>
          <w:tcPr>
            <w:tcW w:w="1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</w:pPr>
      <w:r>
        <w:t>* PE/AF/00178-4/2018. ügyiratszámú OTÉK engedmény alapján</w:t>
      </w:r>
    </w:p>
    <w:p w:rsidR="00D07139" w:rsidRDefault="00D07139" w:rsidP="00D07139">
      <w:pPr>
        <w:pStyle w:val="Szvegtrzs"/>
        <w:spacing w:before="220" w:after="0" w:line="240" w:lineRule="auto"/>
        <w:jc w:val="both"/>
      </w:pPr>
      <w:r>
        <w:t>** templom, harangtorony esetében eltérés megengedett a HÉSZ-ben foglaltak szerint</w:t>
      </w:r>
    </w:p>
    <w:p w:rsidR="00D07139" w:rsidRDefault="00D07139" w:rsidP="00D07139">
      <w:pPr>
        <w:pStyle w:val="Szvegtrzs"/>
        <w:spacing w:before="220" w:after="0" w:line="240" w:lineRule="auto"/>
        <w:jc w:val="both"/>
      </w:pPr>
      <w:r>
        <w:rPr>
          <w:vertAlign w:val="superscript"/>
        </w:rPr>
        <w:t xml:space="preserve">2 </w:t>
      </w:r>
      <w:r>
        <w:t>Megállapította: 2/2020. (I.30.) önkormányzati rendelet 18§-a Hatályos: Az Országos Bírósági Hivatallal kötendő Megállapodás aláírását követő 15. napon</w:t>
      </w:r>
    </w:p>
    <w:p w:rsidR="00D07139" w:rsidRDefault="00D07139" w:rsidP="00D07139">
      <w:pPr>
        <w:pStyle w:val="Szvegtrzs"/>
        <w:spacing w:before="220" w:after="0" w:line="240" w:lineRule="auto"/>
        <w:jc w:val="both"/>
      </w:pPr>
      <w:r>
        <w:rPr>
          <w:b/>
          <w:bCs/>
        </w:rPr>
        <w:t>5.számú táblázat</w:t>
      </w:r>
      <w:r>
        <w:rPr>
          <w:b/>
          <w:bCs/>
          <w:vertAlign w:val="superscript"/>
        </w:rPr>
        <w:t>2;8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 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0,4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lastRenderedPageBreak/>
              <w:t>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Gksz/9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0,6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Gksz/12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Gksz/14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Gksz/15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Gksz/16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19</w:t>
            </w:r>
            <w:r>
              <w:rPr>
                <w:b/>
                <w:bCs/>
                <w:vertAlign w:val="superscript"/>
              </w:rPr>
              <w:t>8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Gksz/17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0,9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6.számú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 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Gip-E/1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0,4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Gip-E/2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0,8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Gip-E/3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Gip-E/4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Gip-E/5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Gip-E/6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Gip-E/7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Gip-E/8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lastRenderedPageBreak/>
              <w:t>11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Gip-E/9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Gip-E/10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Gip-E/11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1,0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Gip-E/12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1,5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15</w:t>
            </w:r>
            <w:r>
              <w:rPr>
                <w:b/>
                <w:bCs/>
                <w:vertAlign w:val="superscript"/>
              </w:rPr>
              <w:t>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Gip-E/13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7.számú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"/>
        <w:gridCol w:w="1347"/>
        <w:gridCol w:w="674"/>
        <w:gridCol w:w="1732"/>
        <w:gridCol w:w="1732"/>
        <w:gridCol w:w="1828"/>
        <w:gridCol w:w="96"/>
        <w:gridCol w:w="1732"/>
      </w:tblGrid>
      <w:tr w:rsidR="00D07139" w:rsidTr="00F739DE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</w:tr>
      <w:tr w:rsidR="00D07139" w:rsidTr="00F739DE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 övezet jele</w:t>
            </w:r>
          </w:p>
        </w:tc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D07139" w:rsidTr="00F739DE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Üh/1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8.számú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8"/>
        <w:gridCol w:w="577"/>
        <w:gridCol w:w="1539"/>
        <w:gridCol w:w="1539"/>
        <w:gridCol w:w="1635"/>
        <w:gridCol w:w="96"/>
        <w:gridCol w:w="1444"/>
        <w:gridCol w:w="1540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 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beépítés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Üü/1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9.számú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8"/>
        <w:gridCol w:w="577"/>
        <w:gridCol w:w="1539"/>
        <w:gridCol w:w="1539"/>
        <w:gridCol w:w="1635"/>
        <w:gridCol w:w="96"/>
        <w:gridCol w:w="1444"/>
        <w:gridCol w:w="1540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</w:t>
            </w:r>
            <w:r>
              <w:br/>
              <w:t>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K-t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nem megosztható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10.számú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</w:t>
            </w:r>
            <w:r>
              <w:br/>
              <w:t>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K-hl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11.számú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8"/>
        <w:gridCol w:w="577"/>
        <w:gridCol w:w="1539"/>
        <w:gridCol w:w="1539"/>
        <w:gridCol w:w="1635"/>
        <w:gridCol w:w="96"/>
        <w:gridCol w:w="1444"/>
        <w:gridCol w:w="1540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</w:t>
            </w:r>
            <w:r>
              <w:br/>
              <w:t>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K-szt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nem megosztható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12.számú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8"/>
        <w:gridCol w:w="577"/>
        <w:gridCol w:w="1539"/>
        <w:gridCol w:w="1539"/>
        <w:gridCol w:w="1635"/>
        <w:gridCol w:w="96"/>
        <w:gridCol w:w="1444"/>
        <w:gridCol w:w="1540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</w:t>
            </w:r>
            <w:r>
              <w:br/>
              <w:t>övezet 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K-eü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nem megosztható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15,0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13.számú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9"/>
        <w:gridCol w:w="577"/>
        <w:gridCol w:w="1539"/>
        <w:gridCol w:w="1539"/>
        <w:gridCol w:w="1539"/>
        <w:gridCol w:w="96"/>
        <w:gridCol w:w="1539"/>
        <w:gridCol w:w="1540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K-sp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nem megosztható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14.számú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K-ü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nem megosztható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15.számú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"/>
        <w:gridCol w:w="1055"/>
        <w:gridCol w:w="673"/>
        <w:gridCol w:w="1631"/>
        <w:gridCol w:w="1631"/>
        <w:gridCol w:w="1536"/>
        <w:gridCol w:w="1728"/>
        <w:gridCol w:w="23"/>
        <w:gridCol w:w="1056"/>
      </w:tblGrid>
      <w:tr w:rsidR="00D07139" w:rsidTr="00F739DE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</w:p>
        </w:tc>
        <w:tc>
          <w:tcPr>
            <w:tcW w:w="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</w:t>
            </w:r>
            <w:r>
              <w:br/>
              <w:t>let</w:t>
            </w:r>
          </w:p>
        </w:tc>
      </w:tr>
      <w:tr w:rsidR="00D07139" w:rsidTr="00F739DE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6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K-m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10*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</w:pPr>
      <w:r>
        <w:rPr>
          <w:b/>
          <w:bCs/>
        </w:rPr>
        <w:t>*</w:t>
      </w:r>
      <w:r>
        <w:rPr>
          <w:b/>
          <w:bCs/>
          <w:i/>
          <w:iCs/>
        </w:rPr>
        <w:t>é</w:t>
      </w:r>
      <w:r>
        <w:rPr>
          <w:i/>
          <w:iCs/>
        </w:rPr>
        <w:t>pület elhelyezése maximum 5%-ban, további 5%-ban kizárólag nem épület jellegű építmények elhelyezése megengedett</w:t>
      </w:r>
    </w:p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16.számú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építési 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K-o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0,6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17.számú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"/>
        <w:gridCol w:w="771"/>
        <w:gridCol w:w="674"/>
        <w:gridCol w:w="1539"/>
        <w:gridCol w:w="1539"/>
        <w:gridCol w:w="1539"/>
        <w:gridCol w:w="1635"/>
        <w:gridCol w:w="1539"/>
      </w:tblGrid>
      <w:tr w:rsidR="00D07139" w:rsidTr="00F739DE">
        <w:trPr>
          <w:tblHeader/>
        </w:trPr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D07139" w:rsidTr="00F739DE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Zkp/1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5 000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</w:tr>
      <w:tr w:rsidR="00D07139" w:rsidTr="00F739DE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Zkp/2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95</w:t>
            </w:r>
          </w:p>
        </w:tc>
      </w:tr>
      <w:tr w:rsidR="00D07139" w:rsidTr="00F739DE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Zkp/3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4,0*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</w:tr>
      <w:tr w:rsidR="00D07139" w:rsidTr="00F739DE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Zkp/4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5,0**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75</w:t>
            </w:r>
          </w:p>
        </w:tc>
      </w:tr>
      <w:tr w:rsidR="00D07139" w:rsidTr="00F739DE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Zkp/5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</w:pPr>
      <w:r>
        <w:rPr>
          <w:i/>
          <w:iCs/>
        </w:rPr>
        <w:t>*</w:t>
      </w:r>
      <w:r>
        <w:t xml:space="preserve"> </w:t>
      </w:r>
      <w:r>
        <w:rPr>
          <w:i/>
          <w:iCs/>
        </w:rPr>
        <w:t>kegyeleti műtárgy magassága max. 7,0 m</w:t>
      </w:r>
    </w:p>
    <w:p w:rsidR="00D07139" w:rsidRDefault="00D07139" w:rsidP="00D07139">
      <w:pPr>
        <w:pStyle w:val="Szvegtrzs"/>
        <w:spacing w:before="220" w:after="0" w:line="240" w:lineRule="auto"/>
        <w:rPr>
          <w:i/>
          <w:iCs/>
        </w:rPr>
      </w:pPr>
      <w:r>
        <w:rPr>
          <w:i/>
          <w:iCs/>
        </w:rPr>
        <w:t>** épületnek nem minősülő építmény legmagasabb pontja max.12 m</w:t>
      </w:r>
    </w:p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18.számú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"/>
        <w:gridCol w:w="963"/>
        <w:gridCol w:w="578"/>
        <w:gridCol w:w="1539"/>
        <w:gridCol w:w="1539"/>
        <w:gridCol w:w="1539"/>
        <w:gridCol w:w="1539"/>
        <w:gridCol w:w="1539"/>
      </w:tblGrid>
      <w:tr w:rsidR="00D07139" w:rsidTr="00F739DE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G</w:t>
            </w:r>
          </w:p>
        </w:tc>
      </w:tr>
      <w:tr w:rsidR="00D07139" w:rsidTr="00F739DE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D07139" w:rsidTr="00F739DE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</w:t>
            </w:r>
            <w:r>
              <w:rPr>
                <w:vertAlign w:val="superscript"/>
              </w:rPr>
              <w:t>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Z-kk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19.számú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058"/>
        <w:gridCol w:w="577"/>
        <w:gridCol w:w="1539"/>
        <w:gridCol w:w="1539"/>
        <w:gridCol w:w="1539"/>
        <w:gridCol w:w="1635"/>
        <w:gridCol w:w="96"/>
        <w:gridCol w:w="1445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Eg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100 000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20.számú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"/>
        <w:gridCol w:w="1058"/>
        <w:gridCol w:w="481"/>
        <w:gridCol w:w="1347"/>
        <w:gridCol w:w="1347"/>
        <w:gridCol w:w="1347"/>
        <w:gridCol w:w="1347"/>
        <w:gridCol w:w="1155"/>
        <w:gridCol w:w="1348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Ek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0,5*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i/>
          <w:iCs/>
        </w:rPr>
      </w:pPr>
      <w:r>
        <w:rPr>
          <w:i/>
          <w:iCs/>
        </w:rPr>
        <w:t>* max. bruttó 250 m2/épület, max 3 db épület/telek</w:t>
      </w:r>
    </w:p>
    <w:p w:rsidR="00D07139" w:rsidRDefault="00D07139" w:rsidP="00D07139">
      <w:pPr>
        <w:pStyle w:val="Szvegtrzs"/>
        <w:spacing w:line="240" w:lineRule="auto"/>
        <w:jc w:val="both"/>
      </w:pPr>
      <w:r>
        <w:rPr>
          <w:b/>
          <w:bCs/>
        </w:rPr>
        <w:t>21.számú táblázat</w:t>
      </w:r>
      <w:r>
        <w:rPr>
          <w:b/>
          <w:bCs/>
          <w:vertAlign w:val="superscript"/>
        </w:rPr>
        <w:t>5</w:t>
      </w:r>
    </w:p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22.számú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"/>
        <w:gridCol w:w="1058"/>
        <w:gridCol w:w="1058"/>
        <w:gridCol w:w="1251"/>
        <w:gridCol w:w="770"/>
        <w:gridCol w:w="577"/>
        <w:gridCol w:w="866"/>
        <w:gridCol w:w="1347"/>
        <w:gridCol w:w="1444"/>
        <w:gridCol w:w="1059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A kialakítható</w:t>
            </w:r>
          </w:p>
        </w:tc>
        <w:tc>
          <w:tcPr>
            <w:tcW w:w="12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A birtoktest telkeinek összterülete alapján alkalmazható beépíthetőség</w:t>
            </w:r>
          </w:p>
        </w:tc>
        <w:tc>
          <w:tcPr>
            <w:tcW w:w="1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A beépítető legkisebb birtok-központ</w:t>
            </w:r>
          </w:p>
        </w:tc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a beépítési mód</w:t>
            </w:r>
          </w:p>
        </w:tc>
        <w:tc>
          <w:tcPr>
            <w:tcW w:w="3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A birtokközpont területén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</w:t>
            </w:r>
            <w:r>
              <w:br/>
              <w:t>birtoktest területe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</w:t>
            </w:r>
            <w:r>
              <w:br/>
              <w:t>birtok-központ területe</w:t>
            </w:r>
          </w:p>
        </w:tc>
        <w:tc>
          <w:tcPr>
            <w:tcW w:w="12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területe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telek-szélessége</w:t>
            </w:r>
          </w:p>
        </w:tc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a beépítettség megengedett legnagyobb mértéke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a zöldfelület legkisebb mértéke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rövidítés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100 000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3,0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7,5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23.számú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"/>
        <w:gridCol w:w="866"/>
        <w:gridCol w:w="577"/>
        <w:gridCol w:w="1155"/>
        <w:gridCol w:w="1155"/>
        <w:gridCol w:w="1155"/>
        <w:gridCol w:w="1155"/>
        <w:gridCol w:w="1155"/>
        <w:gridCol w:w="1058"/>
        <w:gridCol w:w="1058"/>
      </w:tblGrid>
      <w:tr w:rsidR="00D07139" w:rsidTr="00F739DE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</w:tr>
      <w:tr w:rsidR="00D07139" w:rsidTr="00F739DE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</w:t>
            </w:r>
            <w:r>
              <w:br/>
              <w:t>szélesség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elő-, oldal-, és hátsókert</w:t>
            </w:r>
          </w:p>
        </w:tc>
      </w:tr>
      <w:tr w:rsidR="00D07139" w:rsidTr="00F739DE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</w:tr>
      <w:tr w:rsidR="00D07139" w:rsidTr="00F739DE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Mko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10,0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24.számú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"/>
        <w:gridCol w:w="866"/>
        <w:gridCol w:w="577"/>
        <w:gridCol w:w="1155"/>
        <w:gridCol w:w="1155"/>
        <w:gridCol w:w="1155"/>
        <w:gridCol w:w="1155"/>
        <w:gridCol w:w="1155"/>
        <w:gridCol w:w="1058"/>
        <w:gridCol w:w="1058"/>
      </w:tblGrid>
      <w:tr w:rsidR="00D07139" w:rsidTr="00F739DE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</w:tr>
      <w:tr w:rsidR="00D07139" w:rsidTr="00F739DE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</w:t>
            </w:r>
            <w:r>
              <w:br/>
              <w:t>szélesség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elő-, oldal-, és hátsókert</w:t>
            </w:r>
          </w:p>
        </w:tc>
      </w:tr>
      <w:tr w:rsidR="00D07139" w:rsidTr="00F739DE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</w:tr>
      <w:tr w:rsidR="00D07139" w:rsidTr="00F739DE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Mk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1500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(2) bek. szerint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3,5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5,0-5,0-6,0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</w:pPr>
      <w:r>
        <w:rPr>
          <w:i/>
          <w:iCs/>
        </w:rPr>
        <w:t>* max. bruttó 30 m</w:t>
      </w:r>
      <w:r>
        <w:rPr>
          <w:i/>
          <w:iCs/>
          <w:vertAlign w:val="superscript"/>
        </w:rPr>
        <w:t>2</w:t>
      </w:r>
    </w:p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25.számú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"/>
        <w:gridCol w:w="865"/>
        <w:gridCol w:w="481"/>
        <w:gridCol w:w="1347"/>
        <w:gridCol w:w="1347"/>
        <w:gridCol w:w="1348"/>
        <w:gridCol w:w="1347"/>
        <w:gridCol w:w="1347"/>
        <w:gridCol w:w="1348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elő-, oldal-, és hátsókert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Mm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6,0-6,0-6,0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26.számú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"/>
        <w:gridCol w:w="1347"/>
        <w:gridCol w:w="674"/>
        <w:gridCol w:w="1828"/>
        <w:gridCol w:w="1828"/>
        <w:gridCol w:w="1828"/>
        <w:gridCol w:w="1829"/>
      </w:tblGrid>
      <w:tr w:rsidR="00D07139" w:rsidTr="00F739DE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</w:tr>
      <w:tr w:rsidR="00D07139" w:rsidTr="00F739DE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D07139" w:rsidTr="00F739DE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V-b/2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5*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8 000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i/>
          <w:iCs/>
        </w:rPr>
      </w:pPr>
      <w:r>
        <w:rPr>
          <w:i/>
          <w:iCs/>
        </w:rPr>
        <w:t>*épület elhelyezése maximum 3%-ban megengedett</w:t>
      </w:r>
    </w:p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27.számú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Kb-sp/1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28.számú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Kb-sp/2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2*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i/>
          <w:iCs/>
        </w:rPr>
      </w:pPr>
      <w:r>
        <w:rPr>
          <w:i/>
          <w:iCs/>
        </w:rPr>
        <w:t>* kizárólag épületnek nem minősülő építmények esetén további 3%</w:t>
      </w:r>
    </w:p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29.számú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Kb-lsp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6,0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75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30.számú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"/>
        <w:gridCol w:w="865"/>
        <w:gridCol w:w="481"/>
        <w:gridCol w:w="1347"/>
        <w:gridCol w:w="1347"/>
        <w:gridCol w:w="1348"/>
        <w:gridCol w:w="1347"/>
        <w:gridCol w:w="1347"/>
        <w:gridCol w:w="1348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építménymagasság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szintterületi mutató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Kb-rek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31.számú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Kb-b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32.számú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Kb-ü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7,0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</w:tr>
    </w:tbl>
    <w:p w:rsidR="00D07139" w:rsidRDefault="00D07139" w:rsidP="00D07139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33.számú táblázat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"/>
        <w:gridCol w:w="1156"/>
        <w:gridCol w:w="577"/>
        <w:gridCol w:w="1539"/>
        <w:gridCol w:w="1539"/>
        <w:gridCol w:w="1539"/>
        <w:gridCol w:w="1539"/>
        <w:gridCol w:w="1539"/>
      </w:tblGrid>
      <w:tr w:rsidR="00D07139" w:rsidTr="00F739DE">
        <w:trPr>
          <w:tblHeader/>
        </w:trPr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övezet</w:t>
            </w:r>
            <w:r>
              <w:br/>
              <w:t>jele</w:t>
            </w:r>
          </w:p>
        </w:tc>
        <w:tc>
          <w:tcPr>
            <w:tcW w:w="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beép.</w:t>
            </w:r>
            <w:r>
              <w:br/>
              <w:t>mód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legnagyobb</w:t>
            </w:r>
            <w:r>
              <w:br/>
              <w:t>beépítettség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</w:t>
            </w:r>
            <w:r>
              <w:br/>
              <w:t>legkisebb</w:t>
            </w:r>
            <w:r>
              <w:br/>
              <w:t>telekterület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beépíthető telekméret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megengedett legnagyobb épületmagasság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legkisebb zöldfelület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/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(m)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(%)</w:t>
            </w:r>
          </w:p>
        </w:tc>
      </w:tr>
      <w:tr w:rsidR="00D07139" w:rsidTr="00F739DE">
        <w:tc>
          <w:tcPr>
            <w:tcW w:w="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Kb-hl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SZ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20 000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139" w:rsidRDefault="00D07139" w:rsidP="00F739DE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</w:tr>
    </w:tbl>
    <w:p w:rsidR="00D07139" w:rsidRDefault="00D07139" w:rsidP="00D07139">
      <w:pPr>
        <w:jc w:val="right"/>
      </w:pPr>
      <w:r>
        <w:t>”</w:t>
      </w:r>
      <w:r>
        <w:br w:type="page"/>
      </w:r>
    </w:p>
    <w:p w:rsidR="00D07139" w:rsidRDefault="00D07139" w:rsidP="00D07139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.../... . (... . ... .) önkormányzati rendelethez</w:t>
      </w:r>
    </w:p>
    <w:p w:rsidR="00D07139" w:rsidRDefault="00D07139" w:rsidP="00D07139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 a 6/2018. (V. 31.) önkormányzati rendelethez a 6/2018. (V. 31.) önkormányzati rendelethez</w:t>
      </w:r>
    </w:p>
    <w:p w:rsidR="00D07139" w:rsidRDefault="00D07139" w:rsidP="00D07139">
      <w:pPr>
        <w:pStyle w:val="Szvegtrzs"/>
        <w:spacing w:line="240" w:lineRule="auto"/>
      </w:pPr>
      <w:r>
        <w:t>(A melléklet szövegét a(z) 1. sz. melléklet_.pdf elnevezésű fájl tartalmazza.)</w:t>
      </w:r>
    </w:p>
    <w:p w:rsidR="00D07139" w:rsidRDefault="00D07139" w:rsidP="00D07139">
      <w:pPr>
        <w:pStyle w:val="Szvegtrzs"/>
        <w:spacing w:before="240" w:after="240" w:line="240" w:lineRule="auto"/>
        <w:jc w:val="center"/>
        <w:rPr>
          <w:b/>
          <w:bCs/>
        </w:rPr>
        <w:sectPr w:rsidR="00D07139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rPr>
          <w:b/>
          <w:bCs/>
        </w:rPr>
        <w:t>”</w:t>
      </w:r>
    </w:p>
    <w:p w:rsidR="00D07139" w:rsidRDefault="00D07139" w:rsidP="00D07139">
      <w:pPr>
        <w:pStyle w:val="Szvegtrzs"/>
        <w:spacing w:after="0"/>
        <w:jc w:val="center"/>
      </w:pPr>
    </w:p>
    <w:p w:rsidR="00D07139" w:rsidRDefault="00D07139" w:rsidP="00D07139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D07139" w:rsidRDefault="00D07139" w:rsidP="00D07139">
      <w:pPr>
        <w:pStyle w:val="Szvegtrzs"/>
        <w:spacing w:after="160" w:line="240" w:lineRule="auto"/>
        <w:jc w:val="both"/>
      </w:pPr>
      <w:r>
        <w:t>A rendelet módosítását az állami beruházásban megvalósuló Budapest-Veresegyház-Vác vasútvonal fejlesztése indokolja.</w:t>
      </w:r>
    </w:p>
    <w:p w:rsidR="006D3EA5" w:rsidRPr="00D07139" w:rsidRDefault="00D07139" w:rsidP="00D07139">
      <w:bookmarkStart w:id="0" w:name="_GoBack"/>
      <w:bookmarkEnd w:id="0"/>
    </w:p>
    <w:sectPr w:rsidR="006D3EA5" w:rsidRPr="00D07139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07139">
      <w:r>
        <w:separator/>
      </w:r>
    </w:p>
  </w:endnote>
  <w:endnote w:type="continuationSeparator" w:id="0">
    <w:p w:rsidR="00000000" w:rsidRDefault="00D07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39" w:rsidRDefault="00D0713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37E" w:rsidRDefault="007629F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D07139">
      <w:rPr>
        <w:noProof/>
      </w:rPr>
      <w:t>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07139">
      <w:r>
        <w:separator/>
      </w:r>
    </w:p>
  </w:footnote>
  <w:footnote w:type="continuationSeparator" w:id="0">
    <w:p w:rsidR="00000000" w:rsidRDefault="00D07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F56FB"/>
    <w:multiLevelType w:val="multilevel"/>
    <w:tmpl w:val="5A80636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6E3A22"/>
    <w:multiLevelType w:val="multilevel"/>
    <w:tmpl w:val="DA5EDCE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9F2"/>
    <w:rsid w:val="00046F8B"/>
    <w:rsid w:val="007629F2"/>
    <w:rsid w:val="00BE6DBD"/>
    <w:rsid w:val="00D0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E0439"/>
  <w15:chartTrackingRefBased/>
  <w15:docId w15:val="{914E5153-D7DC-44EC-A79E-A2D49164D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629F2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Cmsor1">
    <w:name w:val="heading 1"/>
    <w:basedOn w:val="Heading"/>
    <w:next w:val="Szvegtrzs"/>
    <w:link w:val="Cmsor1Char"/>
    <w:uiPriority w:val="9"/>
    <w:qFormat/>
    <w:rsid w:val="007629F2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link w:val="Cmsor2Char"/>
    <w:uiPriority w:val="9"/>
    <w:semiHidden/>
    <w:unhideWhenUsed/>
    <w:qFormat/>
    <w:rsid w:val="007629F2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link w:val="Cmsor3Char"/>
    <w:uiPriority w:val="9"/>
    <w:semiHidden/>
    <w:unhideWhenUsed/>
    <w:qFormat/>
    <w:rsid w:val="007629F2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link w:val="Cmsor4Char"/>
    <w:uiPriority w:val="9"/>
    <w:semiHidden/>
    <w:unhideWhenUsed/>
    <w:qFormat/>
    <w:rsid w:val="007629F2"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link w:val="Cmsor5Char"/>
    <w:uiPriority w:val="9"/>
    <w:semiHidden/>
    <w:unhideWhenUsed/>
    <w:qFormat/>
    <w:rsid w:val="007629F2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link w:val="Cmsor6Char"/>
    <w:uiPriority w:val="9"/>
    <w:semiHidden/>
    <w:unhideWhenUsed/>
    <w:qFormat/>
    <w:rsid w:val="007629F2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629F2"/>
    <w:rPr>
      <w:rFonts w:ascii="Liberation Sans" w:eastAsia="Noto Sans CJK SC Regular" w:hAnsi="Liberation Sans" w:cs="FreeSans"/>
      <w:b/>
      <w:bCs/>
      <w:kern w:val="2"/>
      <w:sz w:val="36"/>
      <w:szCs w:val="36"/>
      <w:lang w:eastAsia="zh-CN" w:bidi="hi-IN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629F2"/>
    <w:rPr>
      <w:rFonts w:ascii="Liberation Sans" w:eastAsia="Noto Sans CJK SC Regular" w:hAnsi="Liberation Sans" w:cs="FreeSans"/>
      <w:b/>
      <w:bCs/>
      <w:kern w:val="2"/>
      <w:sz w:val="32"/>
      <w:szCs w:val="32"/>
      <w:lang w:eastAsia="zh-CN" w:bidi="hi-IN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629F2"/>
    <w:rPr>
      <w:rFonts w:ascii="Liberation Sans" w:eastAsia="Noto Sans CJK SC Regular" w:hAnsi="Liberation Sans" w:cs="FreeSans"/>
      <w:b/>
      <w:bCs/>
      <w:kern w:val="2"/>
      <w:sz w:val="28"/>
      <w:szCs w:val="28"/>
      <w:lang w:eastAsia="zh-CN" w:bidi="hi-IN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629F2"/>
    <w:rPr>
      <w:rFonts w:ascii="Liberation Sans" w:eastAsia="Noto Sans CJK SC Regular" w:hAnsi="Liberation Sans" w:cs="FreeSans"/>
      <w:b/>
      <w:bCs/>
      <w:i/>
      <w:iCs/>
      <w:kern w:val="2"/>
      <w:sz w:val="27"/>
      <w:szCs w:val="27"/>
      <w:lang w:eastAsia="zh-CN" w:bidi="hi-IN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629F2"/>
    <w:rPr>
      <w:rFonts w:ascii="Liberation Sans" w:eastAsia="Noto Sans CJK SC Regular" w:hAnsi="Liberation Sans" w:cs="FreeSans"/>
      <w:b/>
      <w:bCs/>
      <w:kern w:val="2"/>
      <w:sz w:val="24"/>
      <w:szCs w:val="24"/>
      <w:lang w:eastAsia="zh-CN" w:bidi="hi-IN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629F2"/>
    <w:rPr>
      <w:rFonts w:ascii="Liberation Sans" w:eastAsia="Noto Sans CJK SC Regular" w:hAnsi="Liberation Sans" w:cs="FreeSans"/>
      <w:b/>
      <w:bCs/>
      <w:i/>
      <w:iCs/>
      <w:kern w:val="2"/>
      <w:sz w:val="24"/>
      <w:szCs w:val="24"/>
      <w:lang w:eastAsia="zh-CN" w:bidi="hi-IN"/>
    </w:rPr>
  </w:style>
  <w:style w:type="character" w:styleId="Hiperhivatkozs">
    <w:name w:val="Hyperlink"/>
    <w:rsid w:val="007629F2"/>
    <w:rPr>
      <w:color w:val="000080"/>
      <w:u w:val="single"/>
    </w:rPr>
  </w:style>
  <w:style w:type="character" w:styleId="Mrltotthiperhivatkozs">
    <w:name w:val="FollowedHyperlink"/>
    <w:rsid w:val="007629F2"/>
    <w:rPr>
      <w:color w:val="800000"/>
      <w:u w:val="single"/>
    </w:rPr>
  </w:style>
  <w:style w:type="character" w:customStyle="1" w:styleId="NumberingSymbols">
    <w:name w:val="Numbering Symbols"/>
    <w:qFormat/>
    <w:rsid w:val="007629F2"/>
  </w:style>
  <w:style w:type="character" w:customStyle="1" w:styleId="Bullets">
    <w:name w:val="Bullets"/>
    <w:qFormat/>
    <w:rsid w:val="007629F2"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rsid w:val="007629F2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rsid w:val="007629F2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7629F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">
    <w:name w:val="List"/>
    <w:basedOn w:val="Szvegtrzs"/>
    <w:rsid w:val="007629F2"/>
  </w:style>
  <w:style w:type="paragraph" w:styleId="Kpalrs">
    <w:name w:val="caption"/>
    <w:basedOn w:val="Norml"/>
    <w:qFormat/>
    <w:rsid w:val="007629F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rsid w:val="007629F2"/>
    <w:pPr>
      <w:suppressLineNumbers/>
    </w:pPr>
  </w:style>
  <w:style w:type="paragraph" w:customStyle="1" w:styleId="HeaderandFooter">
    <w:name w:val="Header and Footer"/>
    <w:basedOn w:val="Norml"/>
    <w:qFormat/>
    <w:rsid w:val="007629F2"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link w:val="llbChar"/>
    <w:rsid w:val="007629F2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7629F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l"/>
    <w:qFormat/>
    <w:rsid w:val="007629F2"/>
    <w:pPr>
      <w:suppressLineNumbers/>
    </w:pPr>
  </w:style>
  <w:style w:type="paragraph" w:customStyle="1" w:styleId="TableHeading">
    <w:name w:val="Table Heading"/>
    <w:basedOn w:val="TableContents"/>
    <w:qFormat/>
    <w:rsid w:val="007629F2"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rsid w:val="007629F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629F2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629F2"/>
    <w:rPr>
      <w:rFonts w:ascii="Segoe UI" w:eastAsia="Noto Sans CJK SC Regular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2918</Words>
  <Characters>20140</Characters>
  <Application>Microsoft Office Word</Application>
  <DocSecurity>0</DocSecurity>
  <Lines>167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2024-03-22T10:49:00Z</dcterms:created>
  <dcterms:modified xsi:type="dcterms:W3CDTF">2024-03-22T10:49:00Z</dcterms:modified>
</cp:coreProperties>
</file>